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A15" w:rsidRDefault="008B5A15" w:rsidP="008B5A15">
      <w:pPr>
        <w:rPr>
          <w:b/>
          <w:bCs/>
          <w:u w:val="single"/>
        </w:rPr>
      </w:pPr>
      <w:r>
        <w:rPr>
          <w:noProof/>
          <w:lang w:eastAsia="fr-FR"/>
        </w:rPr>
        <w:drawing>
          <wp:inline distT="0" distB="0" distL="0" distR="0">
            <wp:extent cx="5716905" cy="1025525"/>
            <wp:effectExtent l="0" t="0" r="0" b="3175"/>
            <wp:docPr id="1" name="Image 1" descr="Logo CE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LE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6905" cy="1025525"/>
                    </a:xfrm>
                    <a:prstGeom prst="rect">
                      <a:avLst/>
                    </a:prstGeom>
                    <a:noFill/>
                    <a:ln>
                      <a:noFill/>
                    </a:ln>
                  </pic:spPr>
                </pic:pic>
              </a:graphicData>
            </a:graphic>
          </wp:inline>
        </w:drawing>
      </w:r>
    </w:p>
    <w:p w:rsidR="008B5A15" w:rsidRDefault="008B5A15" w:rsidP="008B5A15">
      <w:pPr>
        <w:jc w:val="right"/>
      </w:pPr>
      <w:r w:rsidRPr="008B5A15">
        <w:t xml:space="preserve">mar. 17/05/2016 </w:t>
      </w:r>
    </w:p>
    <w:p w:rsidR="008B5A15" w:rsidRDefault="008B5A15" w:rsidP="008B5A15">
      <w:pPr>
        <w:rPr>
          <w:b/>
          <w:bCs/>
          <w:u w:val="single"/>
        </w:rPr>
      </w:pPr>
    </w:p>
    <w:p w:rsidR="008B5A15" w:rsidRDefault="008B5A15" w:rsidP="008B5A15">
      <w:pPr>
        <w:rPr>
          <w:b/>
          <w:bCs/>
          <w:u w:val="single"/>
        </w:rPr>
      </w:pPr>
      <w:r>
        <w:rPr>
          <w:b/>
          <w:bCs/>
          <w:u w:val="single"/>
        </w:rPr>
        <w:t>Brèves</w:t>
      </w:r>
    </w:p>
    <w:p w:rsidR="008B5A15" w:rsidRDefault="008B5A15" w:rsidP="008B5A15"/>
    <w:p w:rsidR="008A37B0" w:rsidRDefault="008A37B0" w:rsidP="008A37B0">
      <w:pPr>
        <w:rPr>
          <w:b/>
          <w:bCs/>
          <w:lang w:eastAsia="fr-FR"/>
        </w:rPr>
      </w:pPr>
      <w:r>
        <w:rPr>
          <w:b/>
          <w:bCs/>
          <w:lang w:eastAsia="fr-FR"/>
        </w:rPr>
        <w:t>Point de la DGPR sur les fluides frigorigènes</w:t>
      </w:r>
    </w:p>
    <w:p w:rsidR="008A37B0" w:rsidRDefault="008A37B0" w:rsidP="008A37B0">
      <w:pPr>
        <w:rPr>
          <w:b/>
          <w:bCs/>
          <w:lang w:eastAsia="fr-FR"/>
        </w:rPr>
      </w:pPr>
    </w:p>
    <w:p w:rsidR="008A37B0" w:rsidRDefault="008A37B0" w:rsidP="008A37B0">
      <w:pPr>
        <w:rPr>
          <w:lang w:eastAsia="fr-FR"/>
        </w:rPr>
      </w:pPr>
      <w:r>
        <w:rPr>
          <w:lang w:eastAsia="fr-FR"/>
        </w:rPr>
        <w:t xml:space="preserve">Un point a été fait le 7 juin par la DGPR sur la règlementation sur les fluides frigorigènes fluorés (voir présentation </w:t>
      </w:r>
      <w:hyperlink r:id="rId5" w:history="1">
        <w:r>
          <w:rPr>
            <w:rStyle w:val="Lienhypertexte"/>
            <w:lang w:eastAsia="fr-FR"/>
          </w:rPr>
          <w:t>ici</w:t>
        </w:r>
      </w:hyperlink>
      <w:r>
        <w:rPr>
          <w:lang w:eastAsia="fr-FR"/>
        </w:rPr>
        <w:t> ).</w:t>
      </w:r>
    </w:p>
    <w:p w:rsidR="008A37B0" w:rsidRDefault="008A37B0" w:rsidP="008A37B0">
      <w:pPr>
        <w:rPr>
          <w:lang w:eastAsia="fr-FR"/>
        </w:rPr>
      </w:pPr>
    </w:p>
    <w:p w:rsidR="008A37B0" w:rsidRDefault="008A37B0" w:rsidP="008A37B0">
      <w:pPr>
        <w:rPr>
          <w:lang w:eastAsia="fr-FR"/>
        </w:rPr>
      </w:pPr>
      <w:r>
        <w:rPr>
          <w:lang w:eastAsia="fr-FR"/>
        </w:rPr>
        <w:t>De nombreuses questions ont porté sur les contrôles d’étanchéité.</w:t>
      </w:r>
    </w:p>
    <w:p w:rsidR="008A37B0" w:rsidRDefault="008A37B0" w:rsidP="008A37B0">
      <w:pPr>
        <w:rPr>
          <w:lang w:eastAsia="fr-FR"/>
        </w:rPr>
      </w:pPr>
    </w:p>
    <w:p w:rsidR="008A37B0" w:rsidRDefault="008A37B0" w:rsidP="008A37B0">
      <w:pPr>
        <w:rPr>
          <w:lang w:eastAsia="fr-FR"/>
        </w:rPr>
      </w:pPr>
      <w:r>
        <w:rPr>
          <w:lang w:eastAsia="fr-FR"/>
        </w:rPr>
        <w:t>En raison de la réduction progressive de la production des HFC, la DGPR alerte sur un risque de pénurie du R-404A d’cii 2020 et sur une hausse des prix des HFC en général.</w:t>
      </w:r>
    </w:p>
    <w:p w:rsidR="008A37B0" w:rsidRDefault="008A37B0" w:rsidP="008A37B0">
      <w:pPr>
        <w:rPr>
          <w:lang w:eastAsia="fr-FR"/>
        </w:rPr>
      </w:pPr>
    </w:p>
    <w:p w:rsidR="008A37B0" w:rsidRDefault="008A37B0" w:rsidP="008A37B0">
      <w:pPr>
        <w:rPr>
          <w:lang w:eastAsia="fr-FR"/>
        </w:rPr>
      </w:pPr>
      <w:r>
        <w:rPr>
          <w:lang w:eastAsia="fr-FR"/>
        </w:rPr>
        <w:t xml:space="preserve">On nous informe également du lancement du deuxième volet de l’appel à projet « clim et froid du futur » : </w:t>
      </w:r>
      <w:hyperlink r:id="rId6" w:history="1">
        <w:r>
          <w:rPr>
            <w:rStyle w:val="Lienhypertexte"/>
            <w:lang w:eastAsia="fr-FR"/>
          </w:rPr>
          <w:t>http://www.developpement-durable.gouv.fr/Appel-a-projets-Climatisation-et.html</w:t>
        </w:r>
      </w:hyperlink>
    </w:p>
    <w:p w:rsidR="008A37B0" w:rsidRDefault="008A37B0" w:rsidP="008A37B0">
      <w:pPr>
        <w:rPr>
          <w:lang w:eastAsia="fr-FR"/>
        </w:rPr>
      </w:pPr>
    </w:p>
    <w:p w:rsidR="008A37B0" w:rsidRDefault="008A37B0" w:rsidP="008A37B0">
      <w:pPr>
        <w:rPr>
          <w:lang w:eastAsia="fr-FR"/>
        </w:rPr>
      </w:pPr>
      <w:r>
        <w:rPr>
          <w:lang w:eastAsia="fr-FR"/>
        </w:rPr>
        <w:t xml:space="preserve">Il vise à développer ou déployer des équipements ne faisant pas appel aux HFC. </w:t>
      </w:r>
    </w:p>
    <w:p w:rsidR="008A37B0" w:rsidRDefault="008A37B0" w:rsidP="008A37B0">
      <w:pPr>
        <w:rPr>
          <w:lang w:eastAsia="fr-FR"/>
        </w:rPr>
      </w:pPr>
    </w:p>
    <w:p w:rsidR="008A37B0" w:rsidRDefault="008A37B0" w:rsidP="008A37B0">
      <w:pPr>
        <w:rPr>
          <w:lang w:eastAsia="fr-FR"/>
        </w:rPr>
      </w:pPr>
      <w:r>
        <w:rPr>
          <w:lang w:eastAsia="fr-FR"/>
        </w:rPr>
        <w:t xml:space="preserve">A </w:t>
      </w:r>
      <w:proofErr w:type="spellStart"/>
      <w:r>
        <w:rPr>
          <w:lang w:eastAsia="fr-FR"/>
        </w:rPr>
        <w:t>Célene</w:t>
      </w:r>
      <w:proofErr w:type="spellEnd"/>
      <w:r>
        <w:rPr>
          <w:lang w:eastAsia="fr-FR"/>
        </w:rPr>
        <w:t xml:space="preserve"> on salue cette initiative d’accompagner financièrement le recours aux fluides naturels dont l’ammoniac d’autant plus lorsqu’on se rappelle qu’en 2011 une délégation d’industriels de la viande avait rencontré Laurent Michel l’ex-DGPR pour l’avertir que le coût de remplacement des HCFC -interdit à l’horizon 2015 - allait être très important pour le secteur français de la viande car il utilisait plus fréquemment cette catégorie de gaz que la moyenne européenne. Il lui avait été demandé d’accompagner financièrement le secteur dans sa mutation vers l’ammoniac. Laurent Michel avait refusé ne souhaitant pas être « le promoteur d’un gaz toxique » !</w:t>
      </w:r>
    </w:p>
    <w:p w:rsidR="008A37B0" w:rsidRDefault="008A37B0" w:rsidP="008A37B0">
      <w:pPr>
        <w:rPr>
          <w:lang w:eastAsia="fr-FR"/>
        </w:rPr>
      </w:pPr>
    </w:p>
    <w:p w:rsidR="008A37B0" w:rsidRDefault="008A37B0" w:rsidP="008A37B0">
      <w:pPr>
        <w:rPr>
          <w:lang w:eastAsia="fr-FR"/>
        </w:rPr>
      </w:pPr>
      <w:r>
        <w:rPr>
          <w:lang w:eastAsia="fr-FR"/>
        </w:rPr>
        <w:t xml:space="preserve">A toute fin utile sur ce sujet veuillez trouver ci-après un outil de conversion des </w:t>
      </w:r>
      <w:proofErr w:type="spellStart"/>
      <w:r>
        <w:rPr>
          <w:lang w:eastAsia="fr-FR"/>
        </w:rPr>
        <w:t>eq</w:t>
      </w:r>
      <w:proofErr w:type="spellEnd"/>
      <w:r>
        <w:rPr>
          <w:lang w:eastAsia="fr-FR"/>
        </w:rPr>
        <w:t xml:space="preserve"> CO2 en kg de fluide listés par le règlement F-</w:t>
      </w:r>
      <w:proofErr w:type="spellStart"/>
      <w:r>
        <w:rPr>
          <w:lang w:eastAsia="fr-FR"/>
        </w:rPr>
        <w:t>gas</w:t>
      </w:r>
      <w:proofErr w:type="spellEnd"/>
      <w:r>
        <w:rPr>
          <w:lang w:eastAsia="fr-FR"/>
        </w:rPr>
        <w:t xml:space="preserve"> : </w:t>
      </w:r>
      <w:hyperlink r:id="rId7" w:history="1">
        <w:r>
          <w:rPr>
            <w:rStyle w:val="Lienhypertexte"/>
            <w:lang w:eastAsia="fr-FR"/>
          </w:rPr>
          <w:t>http://www.climefroid16.com/images/professionnel/89399/Reglementation_Fluides.pdf</w:t>
        </w:r>
      </w:hyperlink>
    </w:p>
    <w:p w:rsidR="008A37B0" w:rsidRDefault="008A37B0">
      <w:pPr>
        <w:spacing w:after="160" w:line="259" w:lineRule="auto"/>
      </w:pPr>
      <w:r>
        <w:br w:type="page"/>
      </w:r>
    </w:p>
    <w:p w:rsidR="008A37B0" w:rsidRDefault="008A37B0" w:rsidP="008A37B0">
      <w:pPr>
        <w:rPr>
          <w:b/>
          <w:bCs/>
          <w:lang w:eastAsia="fr-FR"/>
        </w:rPr>
      </w:pPr>
      <w:r>
        <w:rPr>
          <w:b/>
          <w:bCs/>
          <w:lang w:eastAsia="fr-FR"/>
        </w:rPr>
        <w:lastRenderedPageBreak/>
        <w:t>Publication des conclusions du BREF CWW</w:t>
      </w:r>
    </w:p>
    <w:p w:rsidR="008A37B0" w:rsidRDefault="008A37B0" w:rsidP="008A37B0">
      <w:pPr>
        <w:rPr>
          <w:b/>
          <w:bCs/>
          <w:lang w:eastAsia="fr-FR"/>
        </w:rPr>
      </w:pPr>
    </w:p>
    <w:p w:rsidR="008A37B0" w:rsidRDefault="008A37B0" w:rsidP="008A37B0">
      <w:pPr>
        <w:rPr>
          <w:lang w:eastAsia="fr-FR"/>
        </w:rPr>
      </w:pPr>
      <w:r>
        <w:rPr>
          <w:lang w:eastAsia="fr-FR"/>
        </w:rPr>
        <w:t xml:space="preserve">Les conclusions du BREF applicable aux stations de traitement des eaux des industries chimiques ont été publiées le 9 juin par la décision </w:t>
      </w:r>
      <w:hyperlink r:id="rId8" w:history="1">
        <w:r>
          <w:rPr>
            <w:rStyle w:val="Lienhypertexte"/>
            <w:lang w:eastAsia="fr-FR"/>
          </w:rPr>
          <w:t>CE/2016/902</w:t>
        </w:r>
      </w:hyperlink>
      <w:r>
        <w:rPr>
          <w:lang w:eastAsia="fr-FR"/>
        </w:rPr>
        <w:t xml:space="preserve">. Seules les conclusions sont traduites en français, le recueil des Meilleures technique disponibles, publié le 9 juin (voir </w:t>
      </w:r>
      <w:hyperlink r:id="rId9" w:history="1">
        <w:r>
          <w:rPr>
            <w:rStyle w:val="Lienhypertexte"/>
            <w:lang w:eastAsia="fr-FR"/>
          </w:rPr>
          <w:t>ici</w:t>
        </w:r>
      </w:hyperlink>
      <w:r>
        <w:rPr>
          <w:lang w:eastAsia="fr-FR"/>
        </w:rPr>
        <w:t>), n’est lui disponible qu’en anglais.</w:t>
      </w:r>
    </w:p>
    <w:p w:rsidR="008A37B0" w:rsidRDefault="008A37B0" w:rsidP="008A37B0">
      <w:pPr>
        <w:rPr>
          <w:lang w:eastAsia="fr-FR"/>
        </w:rPr>
      </w:pPr>
    </w:p>
    <w:p w:rsidR="008A37B0" w:rsidRDefault="008A37B0" w:rsidP="008A37B0">
      <w:pPr>
        <w:rPr>
          <w:lang w:eastAsia="fr-FR"/>
        </w:rPr>
      </w:pPr>
      <w:r>
        <w:rPr>
          <w:lang w:eastAsia="fr-FR"/>
        </w:rPr>
        <w:t>S’agissant des valeurs-limite</w:t>
      </w:r>
      <w:r>
        <w:rPr>
          <w:lang w:eastAsia="fr-FR"/>
        </w:rPr>
        <w:t>s</w:t>
      </w:r>
      <w:r>
        <w:rPr>
          <w:lang w:eastAsia="fr-FR"/>
        </w:rPr>
        <w:t xml:space="preserve"> de rejet dans le milieu naturel. Elles sont données sous forme de fourchettes afin de tenir compte de spécificités particulières.</w:t>
      </w:r>
    </w:p>
    <w:p w:rsidR="008A37B0" w:rsidRDefault="008A37B0" w:rsidP="008A37B0">
      <w:pPr>
        <w:rPr>
          <w:lang w:eastAsia="fr-FR"/>
        </w:rPr>
      </w:pPr>
    </w:p>
    <w:p w:rsidR="008A37B0" w:rsidRDefault="008A37B0" w:rsidP="008A37B0">
      <w:pPr>
        <w:rPr>
          <w:lang w:eastAsia="fr-FR"/>
        </w:rPr>
      </w:pPr>
      <w:r>
        <w:rPr>
          <w:lang w:eastAsia="fr-FR"/>
        </w:rPr>
        <w:t xml:space="preserve">Certes ce BREF s’applique aux industries chimiques, mais il donne une indication sur le niveau d’exigence de la commission européenne en matière de rejet admissible. </w:t>
      </w:r>
    </w:p>
    <w:p w:rsidR="008A37B0" w:rsidRDefault="008A37B0" w:rsidP="008A37B0">
      <w:pPr>
        <w:rPr>
          <w:lang w:eastAsia="fr-FR"/>
        </w:rPr>
      </w:pPr>
    </w:p>
    <w:p w:rsidR="008A37B0" w:rsidRDefault="008A37B0" w:rsidP="008A37B0">
      <w:pPr>
        <w:rPr>
          <w:lang w:eastAsia="fr-FR"/>
        </w:rPr>
      </w:pPr>
      <w:r>
        <w:rPr>
          <w:lang w:eastAsia="fr-FR"/>
        </w:rPr>
        <w:t>Or si on compare ces seuils à ceux appliqués aux abattoirs par l’arrêtés du 30/04/2004, nous constatons que les valeurs du BREF CWW sont plus exigeantes que ceux de l’arrêté du 30/04/2004 sur l’ensemble des paramètres et que le paramètre DBO5 disparait au profit du paramètre COT qui n’est pas mesuré dans notre secteur de manière courante.</w:t>
      </w:r>
    </w:p>
    <w:p w:rsidR="008A37B0" w:rsidRDefault="008A37B0" w:rsidP="008A37B0">
      <w:pPr>
        <w:rPr>
          <w:lang w:eastAsia="fr-FR"/>
        </w:rPr>
      </w:pPr>
    </w:p>
    <w:tbl>
      <w:tblPr>
        <w:tblW w:w="4740" w:type="dxa"/>
        <w:jc w:val="center"/>
        <w:tblCellMar>
          <w:left w:w="0" w:type="dxa"/>
          <w:right w:w="0" w:type="dxa"/>
        </w:tblCellMar>
        <w:tblLook w:val="04A0" w:firstRow="1" w:lastRow="0" w:firstColumn="1" w:lastColumn="0" w:noHBand="0" w:noVBand="1"/>
      </w:tblPr>
      <w:tblGrid>
        <w:gridCol w:w="1780"/>
        <w:gridCol w:w="1480"/>
        <w:gridCol w:w="1480"/>
      </w:tblGrid>
      <w:tr w:rsidR="008A37B0" w:rsidTr="008A37B0">
        <w:trPr>
          <w:trHeight w:val="645"/>
          <w:jc w:val="center"/>
        </w:trPr>
        <w:tc>
          <w:tcPr>
            <w:tcW w:w="1780" w:type="dxa"/>
            <w:vMerge w:val="restart"/>
            <w:tcBorders>
              <w:top w:val="nil"/>
              <w:left w:val="nil"/>
              <w:bottom w:val="single" w:sz="8" w:space="0" w:color="000000"/>
              <w:right w:val="single" w:sz="8" w:space="0" w:color="auto"/>
            </w:tcBorders>
            <w:noWrap/>
            <w:tcMar>
              <w:top w:w="0" w:type="dxa"/>
              <w:left w:w="70" w:type="dxa"/>
              <w:bottom w:w="0" w:type="dxa"/>
              <w:right w:w="70" w:type="dxa"/>
            </w:tcMar>
            <w:vAlign w:val="bottom"/>
            <w:hideMark/>
          </w:tcPr>
          <w:p w:rsidR="008A37B0" w:rsidRDefault="008A37B0">
            <w:pPr>
              <w:jc w:val="center"/>
              <w:rPr>
                <w:color w:val="000000"/>
                <w:lang w:eastAsia="fr-FR"/>
              </w:rPr>
            </w:pPr>
            <w:bookmarkStart w:id="0" w:name="_GoBack"/>
            <w:r>
              <w:rPr>
                <w:color w:val="000000"/>
                <w:lang w:eastAsia="fr-FR"/>
              </w:rPr>
              <w:t> </w:t>
            </w:r>
          </w:p>
        </w:tc>
        <w:tc>
          <w:tcPr>
            <w:tcW w:w="296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8A37B0" w:rsidRDefault="008A37B0">
            <w:pPr>
              <w:jc w:val="center"/>
              <w:rPr>
                <w:color w:val="000000"/>
                <w:lang w:eastAsia="fr-FR"/>
              </w:rPr>
            </w:pPr>
            <w:proofErr w:type="spellStart"/>
            <w:r>
              <w:rPr>
                <w:color w:val="000000"/>
                <w:lang w:eastAsia="fr-FR"/>
              </w:rPr>
              <w:t>Valeurs-limite</w:t>
            </w:r>
            <w:proofErr w:type="spellEnd"/>
            <w:r>
              <w:rPr>
                <w:color w:val="000000"/>
                <w:lang w:eastAsia="fr-FR"/>
              </w:rPr>
              <w:t xml:space="preserve"> de rejet </w:t>
            </w:r>
            <w:r>
              <w:rPr>
                <w:color w:val="000000"/>
                <w:lang w:eastAsia="fr-FR"/>
              </w:rPr>
              <w:br/>
              <w:t>en mg/l</w:t>
            </w:r>
          </w:p>
        </w:tc>
      </w:tr>
      <w:tr w:rsidR="008A37B0" w:rsidTr="008A37B0">
        <w:trPr>
          <w:trHeight w:val="600"/>
          <w:jc w:val="center"/>
        </w:trPr>
        <w:tc>
          <w:tcPr>
            <w:tcW w:w="0" w:type="auto"/>
            <w:vMerge/>
            <w:tcBorders>
              <w:top w:val="nil"/>
              <w:left w:val="nil"/>
              <w:bottom w:val="single" w:sz="8" w:space="0" w:color="000000"/>
              <w:right w:val="single" w:sz="8" w:space="0" w:color="auto"/>
            </w:tcBorders>
            <w:vAlign w:val="center"/>
            <w:hideMark/>
          </w:tcPr>
          <w:p w:rsidR="008A37B0" w:rsidRDefault="008A37B0">
            <w:pPr>
              <w:rPr>
                <w:color w:val="000000"/>
                <w:lang w:eastAsia="fr-FR"/>
              </w:rPr>
            </w:pPr>
          </w:p>
        </w:tc>
        <w:tc>
          <w:tcPr>
            <w:tcW w:w="1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A37B0" w:rsidRDefault="008A37B0">
            <w:pPr>
              <w:jc w:val="center"/>
              <w:rPr>
                <w:color w:val="000000"/>
                <w:lang w:eastAsia="fr-FR"/>
              </w:rPr>
            </w:pPr>
            <w:r>
              <w:rPr>
                <w:color w:val="000000"/>
                <w:lang w:eastAsia="fr-FR"/>
              </w:rPr>
              <w:t>Arrêté du 30/04/2004</w:t>
            </w:r>
          </w:p>
        </w:tc>
        <w:tc>
          <w:tcPr>
            <w:tcW w:w="1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A37B0" w:rsidRDefault="008A37B0">
            <w:pPr>
              <w:jc w:val="center"/>
              <w:rPr>
                <w:color w:val="000000"/>
                <w:lang w:eastAsia="fr-FR"/>
              </w:rPr>
            </w:pPr>
            <w:r>
              <w:rPr>
                <w:color w:val="000000"/>
                <w:lang w:eastAsia="fr-FR"/>
              </w:rPr>
              <w:t>BREF CWW</w:t>
            </w:r>
          </w:p>
        </w:tc>
      </w:tr>
      <w:tr w:rsidR="008A37B0" w:rsidTr="008A37B0">
        <w:trPr>
          <w:trHeight w:val="300"/>
          <w:jc w:val="center"/>
        </w:trPr>
        <w:tc>
          <w:tcPr>
            <w:tcW w:w="17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A37B0" w:rsidRDefault="008A37B0">
            <w:pPr>
              <w:rPr>
                <w:color w:val="000000"/>
                <w:lang w:eastAsia="fr-FR"/>
              </w:rPr>
            </w:pPr>
            <w:r>
              <w:rPr>
                <w:color w:val="000000"/>
                <w:lang w:eastAsia="fr-FR"/>
              </w:rPr>
              <w:t>DBO5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A37B0" w:rsidRDefault="008A37B0">
            <w:pPr>
              <w:jc w:val="center"/>
              <w:rPr>
                <w:color w:val="000000"/>
                <w:lang w:eastAsia="fr-FR"/>
              </w:rPr>
            </w:pPr>
            <w:r>
              <w:rPr>
                <w:color w:val="000000"/>
                <w:lang w:eastAsia="fr-FR"/>
              </w:rPr>
              <w:t>25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A37B0" w:rsidRDefault="008A37B0">
            <w:pPr>
              <w:jc w:val="center"/>
              <w:rPr>
                <w:color w:val="000000"/>
                <w:lang w:eastAsia="fr-FR"/>
              </w:rPr>
            </w:pPr>
            <w:r>
              <w:rPr>
                <w:color w:val="000000"/>
                <w:lang w:eastAsia="fr-FR"/>
              </w:rPr>
              <w:t>-</w:t>
            </w:r>
          </w:p>
        </w:tc>
      </w:tr>
      <w:tr w:rsidR="008A37B0" w:rsidTr="008A37B0">
        <w:trPr>
          <w:trHeight w:val="300"/>
          <w:jc w:val="center"/>
        </w:trPr>
        <w:tc>
          <w:tcPr>
            <w:tcW w:w="17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A37B0" w:rsidRDefault="008A37B0">
            <w:pPr>
              <w:rPr>
                <w:color w:val="000000"/>
                <w:lang w:eastAsia="fr-FR"/>
              </w:rPr>
            </w:pPr>
            <w:r>
              <w:rPr>
                <w:color w:val="000000"/>
                <w:lang w:eastAsia="fr-FR"/>
              </w:rPr>
              <w:t>DCO</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A37B0" w:rsidRDefault="008A37B0">
            <w:pPr>
              <w:jc w:val="center"/>
              <w:rPr>
                <w:color w:val="000000"/>
                <w:lang w:eastAsia="fr-FR"/>
              </w:rPr>
            </w:pPr>
            <w:r>
              <w:rPr>
                <w:color w:val="000000"/>
                <w:lang w:eastAsia="fr-FR"/>
              </w:rPr>
              <w:t>125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A37B0" w:rsidRDefault="008A37B0">
            <w:pPr>
              <w:jc w:val="center"/>
              <w:rPr>
                <w:color w:val="000000"/>
                <w:lang w:eastAsia="fr-FR"/>
              </w:rPr>
            </w:pPr>
            <w:r>
              <w:rPr>
                <w:color w:val="000000"/>
                <w:lang w:eastAsia="fr-FR"/>
              </w:rPr>
              <w:t>30-100</w:t>
            </w:r>
          </w:p>
        </w:tc>
      </w:tr>
      <w:tr w:rsidR="008A37B0" w:rsidTr="008A37B0">
        <w:trPr>
          <w:trHeight w:val="300"/>
          <w:jc w:val="center"/>
        </w:trPr>
        <w:tc>
          <w:tcPr>
            <w:tcW w:w="17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A37B0" w:rsidRDefault="008A37B0">
            <w:pPr>
              <w:rPr>
                <w:color w:val="000000"/>
                <w:lang w:eastAsia="fr-FR"/>
              </w:rPr>
            </w:pPr>
            <w:r>
              <w:rPr>
                <w:color w:val="000000"/>
                <w:lang w:eastAsia="fr-FR"/>
              </w:rPr>
              <w:t>COT</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A37B0" w:rsidRDefault="008A37B0">
            <w:pPr>
              <w:jc w:val="center"/>
              <w:rPr>
                <w:color w:val="000000"/>
                <w:lang w:eastAsia="fr-FR"/>
              </w:rPr>
            </w:pPr>
            <w:r>
              <w:rPr>
                <w:color w:val="000000"/>
                <w:lang w:eastAsia="fr-FR"/>
              </w:rPr>
              <w:t>-</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A37B0" w:rsidRDefault="008A37B0">
            <w:pPr>
              <w:jc w:val="center"/>
              <w:rPr>
                <w:color w:val="000000"/>
                <w:lang w:eastAsia="fr-FR"/>
              </w:rPr>
            </w:pPr>
            <w:r>
              <w:rPr>
                <w:color w:val="000000"/>
                <w:lang w:eastAsia="fr-FR"/>
              </w:rPr>
              <w:t>10-33</w:t>
            </w:r>
          </w:p>
        </w:tc>
      </w:tr>
      <w:tr w:rsidR="008A37B0" w:rsidTr="008A37B0">
        <w:trPr>
          <w:trHeight w:val="300"/>
          <w:jc w:val="center"/>
        </w:trPr>
        <w:tc>
          <w:tcPr>
            <w:tcW w:w="17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A37B0" w:rsidRDefault="008A37B0">
            <w:pPr>
              <w:rPr>
                <w:color w:val="000000"/>
                <w:lang w:eastAsia="fr-FR"/>
              </w:rPr>
            </w:pPr>
            <w:r>
              <w:rPr>
                <w:color w:val="000000"/>
                <w:lang w:eastAsia="fr-FR"/>
              </w:rPr>
              <w:t>Azote totale</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A37B0" w:rsidRDefault="008A37B0">
            <w:pPr>
              <w:jc w:val="center"/>
              <w:rPr>
                <w:color w:val="000000"/>
                <w:lang w:eastAsia="fr-FR"/>
              </w:rPr>
            </w:pPr>
            <w:r>
              <w:rPr>
                <w:color w:val="000000"/>
                <w:lang w:eastAsia="fr-FR"/>
              </w:rPr>
              <w:t>10-30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A37B0" w:rsidRDefault="008A37B0">
            <w:pPr>
              <w:jc w:val="center"/>
              <w:rPr>
                <w:color w:val="000000"/>
                <w:lang w:eastAsia="fr-FR"/>
              </w:rPr>
            </w:pPr>
            <w:r>
              <w:rPr>
                <w:color w:val="000000"/>
                <w:lang w:eastAsia="fr-FR"/>
              </w:rPr>
              <w:t>5-25</w:t>
            </w:r>
          </w:p>
        </w:tc>
      </w:tr>
      <w:tr w:rsidR="008A37B0" w:rsidTr="008A37B0">
        <w:trPr>
          <w:trHeight w:val="300"/>
          <w:jc w:val="center"/>
        </w:trPr>
        <w:tc>
          <w:tcPr>
            <w:tcW w:w="17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A37B0" w:rsidRDefault="008A37B0">
            <w:pPr>
              <w:rPr>
                <w:color w:val="000000"/>
                <w:lang w:eastAsia="fr-FR"/>
              </w:rPr>
            </w:pPr>
            <w:r>
              <w:rPr>
                <w:color w:val="000000"/>
                <w:lang w:eastAsia="fr-FR"/>
              </w:rPr>
              <w:t>Phosphore total</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A37B0" w:rsidRDefault="008A37B0">
            <w:pPr>
              <w:jc w:val="center"/>
              <w:rPr>
                <w:color w:val="000000"/>
                <w:lang w:eastAsia="fr-FR"/>
              </w:rPr>
            </w:pPr>
            <w:r>
              <w:rPr>
                <w:color w:val="000000"/>
                <w:lang w:eastAsia="fr-FR"/>
              </w:rPr>
              <w:t>2-10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A37B0" w:rsidRDefault="008A37B0">
            <w:pPr>
              <w:jc w:val="center"/>
              <w:rPr>
                <w:color w:val="000000"/>
                <w:lang w:eastAsia="fr-FR"/>
              </w:rPr>
            </w:pPr>
            <w:r>
              <w:rPr>
                <w:color w:val="000000"/>
                <w:lang w:eastAsia="fr-FR"/>
              </w:rPr>
              <w:t>0,5-3</w:t>
            </w:r>
          </w:p>
        </w:tc>
      </w:tr>
      <w:bookmarkEnd w:id="0"/>
    </w:tbl>
    <w:p w:rsidR="008A37B0" w:rsidRDefault="008A37B0" w:rsidP="008A37B0">
      <w:pPr>
        <w:rPr>
          <w:lang w:eastAsia="fr-FR"/>
        </w:rPr>
      </w:pPr>
    </w:p>
    <w:p w:rsidR="008A37B0" w:rsidRDefault="008A37B0" w:rsidP="008B5A15"/>
    <w:p w:rsidR="008B5A15" w:rsidRDefault="008B5A15" w:rsidP="008B5A15">
      <w:r>
        <w:t>Bien cordialement</w:t>
      </w:r>
    </w:p>
    <w:p w:rsidR="008B5A15" w:rsidRDefault="008B5A15" w:rsidP="008B5A15"/>
    <w:p w:rsidR="008B5A15" w:rsidRDefault="008B5A15" w:rsidP="008B5A15">
      <w:pPr>
        <w:rPr>
          <w:b/>
          <w:bCs/>
          <w:color w:val="1F497D"/>
          <w:lang w:eastAsia="fr-FR"/>
        </w:rPr>
      </w:pPr>
      <w:r>
        <w:rPr>
          <w:b/>
          <w:bCs/>
          <w:color w:val="1F497D"/>
          <w:lang w:eastAsia="fr-FR"/>
        </w:rPr>
        <w:t>Christophe Lapasin</w:t>
      </w:r>
    </w:p>
    <w:p w:rsidR="008B5A15" w:rsidRDefault="008B5A15" w:rsidP="008B5A15">
      <w:pPr>
        <w:rPr>
          <w:color w:val="1F497D"/>
          <w:lang w:eastAsia="fr-FR"/>
        </w:rPr>
      </w:pPr>
      <w:r>
        <w:rPr>
          <w:color w:val="1F497D"/>
          <w:lang w:eastAsia="fr-FR"/>
        </w:rPr>
        <w:t>Secrétaire Général</w:t>
      </w:r>
    </w:p>
    <w:p w:rsidR="008B5A15" w:rsidRDefault="008B5A15" w:rsidP="008B5A15">
      <w:pPr>
        <w:rPr>
          <w:b/>
          <w:bCs/>
          <w:color w:val="C00000"/>
          <w:lang w:eastAsia="fr-FR"/>
        </w:rPr>
      </w:pPr>
      <w:proofErr w:type="spellStart"/>
      <w:r>
        <w:rPr>
          <w:b/>
          <w:bCs/>
          <w:color w:val="C00000"/>
          <w:lang w:eastAsia="fr-FR"/>
        </w:rPr>
        <w:t>Célene</w:t>
      </w:r>
      <w:proofErr w:type="spellEnd"/>
    </w:p>
    <w:p w:rsidR="008B5A15" w:rsidRDefault="008B5A15" w:rsidP="008B5A15">
      <w:pPr>
        <w:rPr>
          <w:color w:val="1F497D"/>
          <w:lang w:eastAsia="fr-FR"/>
        </w:rPr>
      </w:pPr>
      <w:r>
        <w:rPr>
          <w:color w:val="1F497D"/>
          <w:lang w:eastAsia="fr-FR"/>
        </w:rPr>
        <w:t>(CFBCT, Coop de France pôle animal, Culture viande, FIA, FNEAP, FNICGV)</w:t>
      </w:r>
    </w:p>
    <w:p w:rsidR="008B5A15" w:rsidRDefault="008B5A15" w:rsidP="008B5A15">
      <w:pPr>
        <w:rPr>
          <w:b/>
          <w:bCs/>
          <w:color w:val="1F497D"/>
          <w:lang w:eastAsia="fr-FR"/>
        </w:rPr>
      </w:pPr>
      <w:r>
        <w:rPr>
          <w:b/>
          <w:bCs/>
          <w:color w:val="1F497D"/>
          <w:lang w:eastAsia="fr-FR"/>
        </w:rPr>
        <w:t>17, place des vins de France</w:t>
      </w:r>
    </w:p>
    <w:p w:rsidR="008B5A15" w:rsidRDefault="008B5A15" w:rsidP="008B5A15">
      <w:pPr>
        <w:rPr>
          <w:b/>
          <w:bCs/>
          <w:color w:val="1F497D"/>
          <w:lang w:eastAsia="fr-FR"/>
        </w:rPr>
      </w:pPr>
      <w:r>
        <w:rPr>
          <w:b/>
          <w:bCs/>
          <w:color w:val="1F497D"/>
          <w:lang w:eastAsia="fr-FR"/>
        </w:rPr>
        <w:t>75012 Paris</w:t>
      </w:r>
    </w:p>
    <w:p w:rsidR="008B5A15" w:rsidRDefault="008B5A15" w:rsidP="008B5A15">
      <w:pPr>
        <w:rPr>
          <w:color w:val="000000"/>
          <w:lang w:eastAsia="fr-FR"/>
        </w:rPr>
      </w:pPr>
      <w:r>
        <w:rPr>
          <w:color w:val="000000"/>
          <w:lang w:eastAsia="fr-FR"/>
        </w:rPr>
        <w:t>Tél : 01 43 46 86 77</w:t>
      </w:r>
    </w:p>
    <w:p w:rsidR="008B5A15" w:rsidRDefault="008B5A15" w:rsidP="008B5A15">
      <w:pPr>
        <w:rPr>
          <w:color w:val="000000"/>
          <w:lang w:eastAsia="fr-FR"/>
        </w:rPr>
      </w:pPr>
      <w:r>
        <w:rPr>
          <w:color w:val="000000"/>
          <w:lang w:eastAsia="fr-FR"/>
        </w:rPr>
        <w:t>Mobile : 06 30 88 96 04</w:t>
      </w:r>
    </w:p>
    <w:p w:rsidR="008B5A15" w:rsidRDefault="008B5A15" w:rsidP="008B5A15">
      <w:pPr>
        <w:rPr>
          <w:color w:val="4F81BD"/>
          <w:lang w:eastAsia="fr-FR"/>
        </w:rPr>
      </w:pPr>
      <w:r>
        <w:rPr>
          <w:color w:val="4F81BD"/>
          <w:lang w:eastAsia="fr-FR"/>
        </w:rPr>
        <w:t>Twitter : @</w:t>
      </w:r>
      <w:proofErr w:type="spellStart"/>
      <w:r>
        <w:rPr>
          <w:color w:val="4F81BD"/>
          <w:lang w:eastAsia="fr-FR"/>
        </w:rPr>
        <w:t>CLapasin</w:t>
      </w:r>
      <w:proofErr w:type="spellEnd"/>
    </w:p>
    <w:p w:rsidR="00245C56" w:rsidRDefault="00245C56"/>
    <w:sectPr w:rsidR="00245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A15"/>
    <w:rsid w:val="00245C56"/>
    <w:rsid w:val="008A37B0"/>
    <w:rsid w:val="008B5A15"/>
    <w:rsid w:val="00914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EDD9"/>
  <w15:chartTrackingRefBased/>
  <w15:docId w15:val="{B1C91622-4DFF-4EFE-8B75-0B140692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B5A15"/>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B5A15"/>
    <w:rPr>
      <w:color w:val="0000FF"/>
      <w:u w:val="single"/>
    </w:rPr>
  </w:style>
  <w:style w:type="paragraph" w:customStyle="1" w:styleId="p1">
    <w:name w:val="p1"/>
    <w:basedOn w:val="Normal"/>
    <w:rsid w:val="008B5A15"/>
    <w:pPr>
      <w:jc w:val="both"/>
    </w:pPr>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4006">
      <w:bodyDiv w:val="1"/>
      <w:marLeft w:val="0"/>
      <w:marRight w:val="0"/>
      <w:marTop w:val="0"/>
      <w:marBottom w:val="0"/>
      <w:divBdr>
        <w:top w:val="none" w:sz="0" w:space="0" w:color="auto"/>
        <w:left w:val="none" w:sz="0" w:space="0" w:color="auto"/>
        <w:bottom w:val="none" w:sz="0" w:space="0" w:color="auto"/>
        <w:right w:val="none" w:sz="0" w:space="0" w:color="auto"/>
      </w:divBdr>
    </w:div>
    <w:div w:id="1732581232">
      <w:bodyDiv w:val="1"/>
      <w:marLeft w:val="0"/>
      <w:marRight w:val="0"/>
      <w:marTop w:val="0"/>
      <w:marBottom w:val="0"/>
      <w:divBdr>
        <w:top w:val="none" w:sz="0" w:space="0" w:color="auto"/>
        <w:left w:val="none" w:sz="0" w:space="0" w:color="auto"/>
        <w:bottom w:val="none" w:sz="0" w:space="0" w:color="auto"/>
        <w:right w:val="none" w:sz="0" w:space="0" w:color="auto"/>
      </w:divBdr>
    </w:div>
    <w:div w:id="20116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FR/TXT/PDF/?uri=CELEX:32016R0879&amp;from=FR" TargetMode="External"/><Relationship Id="rId3" Type="http://schemas.openxmlformats.org/officeDocument/2006/relationships/webSettings" Target="webSettings.xml"/><Relationship Id="rId7" Type="http://schemas.openxmlformats.org/officeDocument/2006/relationships/hyperlink" Target="http://www.climefroid16.com/images/professionnel/89399/Reglementation_Fluide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veloppement-durable.gouv.fr/Appel-a-projets-Climatisation-et.html" TargetMode="External"/><Relationship Id="rId11" Type="http://schemas.openxmlformats.org/officeDocument/2006/relationships/theme" Target="theme/theme1.xml"/><Relationship Id="rId5" Type="http://schemas.openxmlformats.org/officeDocument/2006/relationships/hyperlink" Target="http://www.developpement-durable.gouv.fr/IMG/pdf/160607_support_presentation_GESF_et_FF_-_mardi_DGPR.pd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ied.ineris.fr/sites/default/files/CWW_BatConcl0516_V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2979</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FNICGV</dc:creator>
  <cp:keywords/>
  <dc:description/>
  <cp:lastModifiedBy>francois FNICGV</cp:lastModifiedBy>
  <cp:revision>2</cp:revision>
  <dcterms:created xsi:type="dcterms:W3CDTF">2016-05-18T12:53:00Z</dcterms:created>
  <dcterms:modified xsi:type="dcterms:W3CDTF">2016-06-20T08:01:00Z</dcterms:modified>
</cp:coreProperties>
</file>